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8B30" w14:textId="77777777" w:rsidR="001D52B6" w:rsidRPr="00596662" w:rsidRDefault="001D52B6" w:rsidP="001D52B6">
      <w:pPr>
        <w:pStyle w:val="Title"/>
      </w:pPr>
      <w:r w:rsidRPr="00596662">
        <w:t>POSTGRADUATE RESEARCHERS’ RIGHTS CHARTER </w:t>
      </w:r>
    </w:p>
    <w:p w14:paraId="3CCD682F" w14:textId="77777777" w:rsidR="001D52B6" w:rsidRPr="00596662" w:rsidRDefault="001D52B6" w:rsidP="001D52B6">
      <w:r w:rsidRPr="00596662">
        <w:t>The Union of Students in Ireland [USI] created a Postgraduate Researchers’ Rights Charter to highlight and protect the working rights of postgraduate researchers. The Charter contains 16 points. </w:t>
      </w:r>
    </w:p>
    <w:p w14:paraId="2F22B24F" w14:textId="77777777" w:rsidR="001D52B6" w:rsidRDefault="001D52B6" w:rsidP="001D52B6">
      <w:pPr>
        <w:pStyle w:val="Heading2"/>
        <w:numPr>
          <w:ilvl w:val="0"/>
          <w:numId w:val="1"/>
        </w:numPr>
        <w:rPr>
          <w:rFonts w:ascii="Barlow" w:hAnsi="Barlow" w:cs="Segoe UI"/>
          <w:sz w:val="24"/>
          <w:szCs w:val="24"/>
        </w:rPr>
      </w:pPr>
      <w:r w:rsidRPr="00596662">
        <w:t>Employee Status for all Postgraduate Researchers</w:t>
      </w:r>
      <w:r>
        <w:rPr>
          <w:rStyle w:val="normaltextrun"/>
          <w:rFonts w:ascii="Times New Roman" w:hAnsi="Times New Roman" w:cs="Times New Roman"/>
          <w:color w:val="000000"/>
          <w:lang w:val="en-US"/>
        </w:rPr>
        <w:t> </w:t>
      </w:r>
      <w:r>
        <w:rPr>
          <w:rStyle w:val="eop"/>
          <w:rFonts w:ascii="Barlow" w:hAnsi="Barlow" w:cs="Segoe UI"/>
          <w:color w:val="000000"/>
        </w:rPr>
        <w:t> </w:t>
      </w:r>
    </w:p>
    <w:p w14:paraId="611F555E" w14:textId="77777777" w:rsidR="001D52B6" w:rsidRPr="00596662" w:rsidRDefault="001D52B6" w:rsidP="001D52B6">
      <w:r w:rsidRPr="00596662">
        <w:t>Recognize all postgraduate researchers (PhDs and postgraduates doing master's by research) engaged in research at Irish higher education and research system as employees with employee status, contracts of employment, and collective bargaining rights under the Irish Law. Contracts should include adequate and equitable social security provisions such as sickness and parental benefits, protective leave, maternity and paternity leave, contract extension under extenuating conditions, and pension rights.  </w:t>
      </w:r>
    </w:p>
    <w:p w14:paraId="0A1ADABB" w14:textId="77777777" w:rsidR="001D52B6" w:rsidRDefault="001D52B6" w:rsidP="001D52B6">
      <w:pPr>
        <w:pStyle w:val="Heading2"/>
        <w:numPr>
          <w:ilvl w:val="0"/>
          <w:numId w:val="1"/>
        </w:numPr>
        <w:rPr>
          <w:rFonts w:ascii="Barlow" w:hAnsi="Barlow" w:cs="Segoe UI"/>
          <w:sz w:val="24"/>
          <w:szCs w:val="24"/>
        </w:rPr>
      </w:pPr>
      <w:r w:rsidRPr="00596662">
        <w:t>Minimum Living Wage</w:t>
      </w:r>
      <w:r>
        <w:rPr>
          <w:rStyle w:val="normaltextrun"/>
          <w:rFonts w:ascii="Times New Roman" w:hAnsi="Times New Roman" w:cs="Times New Roman"/>
          <w:color w:val="000000"/>
          <w:lang w:val="en-IE"/>
        </w:rPr>
        <w:t> </w:t>
      </w:r>
      <w:r>
        <w:rPr>
          <w:rStyle w:val="eop"/>
          <w:rFonts w:ascii="Barlow" w:hAnsi="Barlow" w:cs="Segoe UI"/>
          <w:color w:val="000000"/>
        </w:rPr>
        <w:t> </w:t>
      </w:r>
    </w:p>
    <w:p w14:paraId="4345FAC5" w14:textId="77777777" w:rsidR="001D52B6" w:rsidRPr="00596662" w:rsidRDefault="001D52B6" w:rsidP="001D52B6">
      <w:r w:rsidRPr="00596662">
        <w:t>Researchers at the postgraduate level should be paid at least a living wage. Annually, living wages should be reviewed while considering the cost of housing and living in each county.  </w:t>
      </w:r>
    </w:p>
    <w:p w14:paraId="6EB2324D" w14:textId="77777777" w:rsidR="001D52B6" w:rsidRDefault="001D52B6" w:rsidP="001D52B6">
      <w:pPr>
        <w:pStyle w:val="Heading2"/>
        <w:numPr>
          <w:ilvl w:val="0"/>
          <w:numId w:val="1"/>
        </w:numPr>
        <w:rPr>
          <w:rFonts w:ascii="Barlow" w:hAnsi="Barlow" w:cs="Segoe UI"/>
          <w:sz w:val="24"/>
          <w:szCs w:val="24"/>
        </w:rPr>
      </w:pPr>
      <w:r w:rsidRPr="00596662">
        <w:t>Recognition and Payment of Work</w:t>
      </w:r>
      <w:r>
        <w:rPr>
          <w:rStyle w:val="normaltextrun"/>
          <w:rFonts w:ascii="Times New Roman" w:hAnsi="Times New Roman" w:cs="Times New Roman"/>
          <w:color w:val="000000"/>
          <w:lang w:val="en-IE"/>
        </w:rPr>
        <w:t> </w:t>
      </w:r>
      <w:r>
        <w:rPr>
          <w:rStyle w:val="eop"/>
          <w:rFonts w:ascii="Barlow" w:hAnsi="Barlow" w:cs="Segoe UI"/>
          <w:color w:val="000000"/>
        </w:rPr>
        <w:t> </w:t>
      </w:r>
    </w:p>
    <w:p w14:paraId="4540B2E7" w14:textId="77777777" w:rsidR="001D52B6" w:rsidRPr="00596662" w:rsidRDefault="001D52B6" w:rsidP="001D52B6">
      <w:r w:rsidRPr="00596662">
        <w:t>All work allocated to postgraduate researchers should be recognized and compensated fairly in the contract. An average working week for postgraduate researchers should not exceed 48 hours, and duties outside of research projects should not exceed 8 hours. This should include time spent on research projects, training, lecturing, tutoring, demonstrating, preparation and marking, lab sessions, supervising students and administrative duties. Postgraduate researchers should have the right to decline duties outside of their research projects. Postgraduate researchers should receive statement of their terms of work before registration. </w:t>
      </w:r>
    </w:p>
    <w:p w14:paraId="5E1C165E" w14:textId="77777777" w:rsidR="001D52B6" w:rsidRDefault="001D52B6" w:rsidP="001D52B6">
      <w:pPr>
        <w:pStyle w:val="Heading2"/>
        <w:numPr>
          <w:ilvl w:val="0"/>
          <w:numId w:val="1"/>
        </w:numPr>
        <w:rPr>
          <w:rFonts w:ascii="Barlow" w:hAnsi="Barlow" w:cs="Segoe UI"/>
          <w:sz w:val="24"/>
          <w:szCs w:val="24"/>
        </w:rPr>
      </w:pPr>
      <w:r w:rsidRPr="00596662">
        <w:t>Support for Teaching and Work</w:t>
      </w:r>
      <w:r>
        <w:rPr>
          <w:rStyle w:val="normaltextrun"/>
          <w:rFonts w:ascii="Times New Roman" w:hAnsi="Times New Roman" w:cs="Times New Roman"/>
          <w:color w:val="000000"/>
          <w:lang w:val="en-IE"/>
        </w:rPr>
        <w:t> </w:t>
      </w:r>
      <w:r>
        <w:rPr>
          <w:rStyle w:val="eop"/>
          <w:rFonts w:ascii="Barlow" w:hAnsi="Barlow" w:cs="Segoe UI"/>
          <w:color w:val="000000"/>
        </w:rPr>
        <w:t> </w:t>
      </w:r>
    </w:p>
    <w:p w14:paraId="7692F4CE" w14:textId="77777777" w:rsidR="001D52B6" w:rsidRPr="00596662" w:rsidRDefault="001D52B6" w:rsidP="001D52B6">
      <w:r w:rsidRPr="00596662">
        <w:t>Provide appropriate training, support, resources, and facilities for all postgraduates performing teaching and other work at the institution.  </w:t>
      </w:r>
    </w:p>
    <w:p w14:paraId="7EC668CF" w14:textId="77777777" w:rsidR="001D52B6" w:rsidRDefault="001D52B6" w:rsidP="001D52B6">
      <w:pPr>
        <w:pStyle w:val="Heading2"/>
        <w:numPr>
          <w:ilvl w:val="0"/>
          <w:numId w:val="1"/>
        </w:numPr>
        <w:rPr>
          <w:rFonts w:ascii="Barlow" w:hAnsi="Barlow" w:cs="Segoe UI"/>
          <w:sz w:val="24"/>
          <w:szCs w:val="24"/>
        </w:rPr>
      </w:pPr>
      <w:r w:rsidRPr="00596662">
        <w:t>Access to Suitable Work Environment and Resources</w:t>
      </w:r>
      <w:r>
        <w:rPr>
          <w:rStyle w:val="normaltextrun"/>
          <w:rFonts w:ascii="Times New Roman" w:hAnsi="Times New Roman" w:cs="Times New Roman"/>
          <w:color w:val="000000"/>
          <w:lang w:val="en-IE"/>
        </w:rPr>
        <w:t> </w:t>
      </w:r>
      <w:r>
        <w:rPr>
          <w:rStyle w:val="eop"/>
          <w:rFonts w:ascii="Barlow" w:hAnsi="Barlow" w:cs="Segoe UI"/>
          <w:color w:val="000000"/>
        </w:rPr>
        <w:t> </w:t>
      </w:r>
    </w:p>
    <w:p w14:paraId="1CAFD5A5" w14:textId="77777777" w:rsidR="001D52B6" w:rsidRPr="00596662" w:rsidRDefault="001D52B6" w:rsidP="001D52B6">
      <w:r w:rsidRPr="00596662">
        <w:t>Provide a safe, accessible, and healthy working environment for postgraduate researchers, including appropriate orientation, training, research expenses, dedicated workspace, meeting office, printing services, appropriate research equipment, tools, software, facilities, research travel funds, opportunities, and technical support.    </w:t>
      </w:r>
    </w:p>
    <w:p w14:paraId="20A3EBF1" w14:textId="77777777" w:rsidR="001D52B6" w:rsidRDefault="001D52B6" w:rsidP="001D52B6">
      <w:pPr>
        <w:pStyle w:val="Heading2"/>
        <w:numPr>
          <w:ilvl w:val="0"/>
          <w:numId w:val="1"/>
        </w:numPr>
        <w:rPr>
          <w:rFonts w:ascii="Barlow" w:hAnsi="Barlow" w:cs="Segoe UI"/>
          <w:sz w:val="24"/>
          <w:szCs w:val="24"/>
        </w:rPr>
      </w:pPr>
      <w:r w:rsidRPr="00596662">
        <w:t>Appropriate Supervision</w:t>
      </w:r>
      <w:r>
        <w:rPr>
          <w:rStyle w:val="normaltextrun"/>
          <w:rFonts w:ascii="Times New Roman" w:hAnsi="Times New Roman" w:cs="Times New Roman"/>
          <w:color w:val="000000"/>
          <w:lang w:val="en-IE"/>
        </w:rPr>
        <w:t> </w:t>
      </w:r>
      <w:r>
        <w:rPr>
          <w:rStyle w:val="eop"/>
          <w:rFonts w:ascii="Barlow" w:hAnsi="Barlow" w:cs="Segoe UI"/>
          <w:color w:val="000000"/>
        </w:rPr>
        <w:t> </w:t>
      </w:r>
    </w:p>
    <w:p w14:paraId="4B9F3D97" w14:textId="77777777" w:rsidR="001D52B6" w:rsidRPr="00596662" w:rsidRDefault="001D52B6" w:rsidP="001D52B6">
      <w:r w:rsidRPr="00596662">
        <w:t>The postgraduate researcher should have access to a qualified primary supervisor and/or secondary supervisor in the relevant research area. Supervision arrangements should clearly define that the proposed supervisor(s) have the time, knowledge, expertise, and commitment to offer appropriate advice and support to their supervisee.  A fair policy for change in supervision should also be developed.  </w:t>
      </w:r>
    </w:p>
    <w:p w14:paraId="370A96CF" w14:textId="77777777" w:rsidR="001D52B6" w:rsidRDefault="001D52B6" w:rsidP="001D52B6">
      <w:pPr>
        <w:pStyle w:val="Heading2"/>
        <w:numPr>
          <w:ilvl w:val="0"/>
          <w:numId w:val="1"/>
        </w:numPr>
        <w:rPr>
          <w:rFonts w:ascii="Barlow" w:hAnsi="Barlow" w:cs="Segoe UI"/>
          <w:sz w:val="24"/>
          <w:szCs w:val="24"/>
        </w:rPr>
      </w:pPr>
      <w:r w:rsidRPr="00596662">
        <w:t>Appeal and Grievances Procedures</w:t>
      </w:r>
      <w:r>
        <w:rPr>
          <w:rStyle w:val="normaltextrun"/>
          <w:rFonts w:ascii="Times New Roman" w:hAnsi="Times New Roman" w:cs="Times New Roman"/>
          <w:color w:val="000000"/>
          <w:lang w:val="en-IE"/>
        </w:rPr>
        <w:t> </w:t>
      </w:r>
      <w:r>
        <w:rPr>
          <w:rStyle w:val="eop"/>
          <w:rFonts w:ascii="Barlow" w:hAnsi="Barlow" w:cs="Segoe UI"/>
          <w:color w:val="000000"/>
        </w:rPr>
        <w:t> </w:t>
      </w:r>
    </w:p>
    <w:p w14:paraId="2C484B95" w14:textId="77777777" w:rsidR="001D52B6" w:rsidRPr="00596662" w:rsidRDefault="001D52B6" w:rsidP="001D52B6">
      <w:r w:rsidRPr="00596662">
        <w:t xml:space="preserve">Postgraduate researchers should have access to transparent and independent appeal structures and processes to deal with issues of conflicts and grievances between postgraduate researchers, </w:t>
      </w:r>
      <w:r w:rsidRPr="00596662">
        <w:lastRenderedPageBreak/>
        <w:t>supervisors, and other bodies within an institution. Higher Education Institutions, Irish Funding agencies and Department of Further and Higher Education, Research, Innovation and Science should establish institutional and national rules and regulations, and appropriate procedures, possibly in the form of an independent ombudsman to ensure compliance with regulations, and contractual responsibilities and to act as a mediator for any disputes that may arise.  </w:t>
      </w:r>
    </w:p>
    <w:p w14:paraId="6C88586F" w14:textId="77777777" w:rsidR="001D52B6" w:rsidRDefault="001D52B6" w:rsidP="001D52B6">
      <w:pPr>
        <w:pStyle w:val="Heading2"/>
        <w:numPr>
          <w:ilvl w:val="0"/>
          <w:numId w:val="1"/>
        </w:numPr>
        <w:rPr>
          <w:rFonts w:ascii="Barlow" w:hAnsi="Barlow" w:cs="Segoe UI"/>
          <w:sz w:val="24"/>
          <w:szCs w:val="24"/>
        </w:rPr>
      </w:pPr>
      <w:r w:rsidRPr="00596662">
        <w:t>Affordable and</w:t>
      </w:r>
      <w:r>
        <w:rPr>
          <w:rStyle w:val="normaltextrun"/>
          <w:rFonts w:ascii="Times New Roman" w:hAnsi="Times New Roman" w:cs="Times New Roman"/>
          <w:b/>
          <w:bCs/>
          <w:color w:val="000000"/>
        </w:rPr>
        <w:t> </w:t>
      </w:r>
      <w:r w:rsidRPr="00596662">
        <w:t>Suitable Accommodation</w:t>
      </w:r>
      <w:r>
        <w:rPr>
          <w:rStyle w:val="normaltextrun"/>
          <w:rFonts w:ascii="Times New Roman" w:hAnsi="Times New Roman" w:cs="Times New Roman"/>
          <w:color w:val="000000"/>
          <w:lang w:val="en-US"/>
        </w:rPr>
        <w:t> </w:t>
      </w:r>
      <w:r>
        <w:rPr>
          <w:rStyle w:val="eop"/>
          <w:rFonts w:ascii="Barlow" w:hAnsi="Barlow" w:cs="Segoe UI"/>
          <w:color w:val="000000"/>
        </w:rPr>
        <w:t> </w:t>
      </w:r>
    </w:p>
    <w:p w14:paraId="45B59B33" w14:textId="77777777" w:rsidR="001D52B6" w:rsidRPr="00596662" w:rsidRDefault="001D52B6" w:rsidP="001D52B6">
      <w:r w:rsidRPr="00596662">
        <w:t>Postgraduate researchers should have access to affordable, suitable student accommodation. The rent for postgraduate researchers should not exceed one-third of their income. The accommodation should be suitable for postgraduate researchers with families.    </w:t>
      </w:r>
    </w:p>
    <w:p w14:paraId="630FDD8D" w14:textId="77777777" w:rsidR="001D52B6" w:rsidRDefault="001D52B6" w:rsidP="001D52B6">
      <w:pPr>
        <w:pStyle w:val="Heading2"/>
        <w:numPr>
          <w:ilvl w:val="0"/>
          <w:numId w:val="1"/>
        </w:numPr>
        <w:rPr>
          <w:rFonts w:ascii="Barlow" w:hAnsi="Barlow" w:cs="Segoe UI"/>
          <w:sz w:val="24"/>
          <w:szCs w:val="24"/>
        </w:rPr>
      </w:pPr>
      <w:r w:rsidRPr="00596662">
        <w:t>PGR Representation in Decision Making Bodies</w:t>
      </w:r>
      <w:r>
        <w:rPr>
          <w:rStyle w:val="normaltextrun"/>
          <w:rFonts w:ascii="Times New Roman" w:hAnsi="Times New Roman" w:cs="Times New Roman"/>
          <w:color w:val="000000"/>
          <w:lang w:val="en-IE"/>
        </w:rPr>
        <w:t> </w:t>
      </w:r>
      <w:r>
        <w:rPr>
          <w:rStyle w:val="eop"/>
          <w:rFonts w:ascii="Barlow" w:hAnsi="Barlow" w:cs="Segoe UI"/>
          <w:color w:val="000000"/>
        </w:rPr>
        <w:t> </w:t>
      </w:r>
    </w:p>
    <w:p w14:paraId="72B344E2" w14:textId="77777777" w:rsidR="001D52B6" w:rsidRPr="00596662" w:rsidRDefault="001D52B6" w:rsidP="001D52B6">
      <w:r w:rsidRPr="00596662">
        <w:t>Elected postgraduate representatives should be engaged and appointed onto institutional committees, review teams, and working groups on the PGR programmes, policies, regulations, and reforms. Ensure a clear governance and transparency both within HEIs and the HEA in decision-making regarding matters relating to postgraduate researchers.  </w:t>
      </w:r>
    </w:p>
    <w:p w14:paraId="62668A0F" w14:textId="77777777" w:rsidR="001D52B6" w:rsidRDefault="001D52B6" w:rsidP="001D52B6">
      <w:pPr>
        <w:pStyle w:val="Heading2"/>
        <w:numPr>
          <w:ilvl w:val="0"/>
          <w:numId w:val="1"/>
        </w:numPr>
        <w:rPr>
          <w:rFonts w:ascii="Barlow" w:hAnsi="Barlow" w:cs="Segoe UI"/>
          <w:sz w:val="24"/>
          <w:szCs w:val="24"/>
        </w:rPr>
      </w:pPr>
      <w:r w:rsidRPr="00596662">
        <w:t>Right to be Represented by Students, Teaching and Trade Union</w:t>
      </w:r>
      <w:r>
        <w:rPr>
          <w:rStyle w:val="normaltextrun"/>
          <w:rFonts w:ascii="Times New Roman" w:hAnsi="Times New Roman" w:cs="Times New Roman"/>
          <w:color w:val="000000"/>
          <w:lang w:val="en-IE"/>
        </w:rPr>
        <w:t> </w:t>
      </w:r>
      <w:r>
        <w:rPr>
          <w:rStyle w:val="eop"/>
          <w:rFonts w:ascii="Barlow" w:hAnsi="Barlow" w:cs="Segoe UI"/>
          <w:color w:val="000000"/>
        </w:rPr>
        <w:t> </w:t>
      </w:r>
    </w:p>
    <w:p w14:paraId="12CB5A50" w14:textId="77777777" w:rsidR="001D52B6" w:rsidRPr="00596662" w:rsidRDefault="001D52B6" w:rsidP="001D52B6">
      <w:r w:rsidRPr="00596662">
        <w:t>Postgraduate researchers should have a right to be represented by the teaching union, students' union, and trade union.  </w:t>
      </w:r>
    </w:p>
    <w:p w14:paraId="1E546204" w14:textId="77777777" w:rsidR="001D52B6" w:rsidRDefault="001D52B6" w:rsidP="001D52B6">
      <w:pPr>
        <w:pStyle w:val="Heading2"/>
        <w:numPr>
          <w:ilvl w:val="0"/>
          <w:numId w:val="1"/>
        </w:numPr>
        <w:rPr>
          <w:rFonts w:ascii="Barlow" w:hAnsi="Barlow" w:cs="Segoe UI"/>
          <w:sz w:val="24"/>
          <w:szCs w:val="24"/>
        </w:rPr>
      </w:pPr>
      <w:r w:rsidRPr="00596662">
        <w:t>Non-Discrimination</w:t>
      </w:r>
      <w:r>
        <w:rPr>
          <w:rStyle w:val="normaltextrun"/>
          <w:rFonts w:ascii="Times New Roman" w:hAnsi="Times New Roman" w:cs="Times New Roman"/>
          <w:color w:val="000000"/>
          <w:lang w:val="en-IE"/>
        </w:rPr>
        <w:t> </w:t>
      </w:r>
      <w:r>
        <w:rPr>
          <w:rStyle w:val="eop"/>
          <w:rFonts w:ascii="Barlow" w:hAnsi="Barlow" w:cs="Segoe UI"/>
          <w:color w:val="000000"/>
        </w:rPr>
        <w:t> </w:t>
      </w:r>
    </w:p>
    <w:p w14:paraId="2640FAB6" w14:textId="77777777" w:rsidR="001D52B6" w:rsidRPr="00596662" w:rsidRDefault="001D52B6" w:rsidP="001D52B6">
      <w:r w:rsidRPr="00596662">
        <w:t>Ensure that postgraduate researchers are not discriminated on any ground including but not limited to gender, age, ethnicity, race, colour, citizenship status, religion or belief, sexual orientation, family and marital status, accessibility requirements, language, locality, and economic condition.  </w:t>
      </w:r>
    </w:p>
    <w:p w14:paraId="25DEE7FE" w14:textId="77777777" w:rsidR="001D52B6" w:rsidRDefault="001D52B6" w:rsidP="001D52B6">
      <w:pPr>
        <w:pStyle w:val="Heading2"/>
        <w:numPr>
          <w:ilvl w:val="0"/>
          <w:numId w:val="1"/>
        </w:numPr>
        <w:rPr>
          <w:rFonts w:ascii="Barlow" w:hAnsi="Barlow" w:cs="Segoe UI"/>
          <w:sz w:val="24"/>
          <w:szCs w:val="24"/>
        </w:rPr>
      </w:pPr>
      <w:r w:rsidRPr="00596662">
        <w:t>Rights of Non-EEA Postgraduate Researchers</w:t>
      </w:r>
      <w:r>
        <w:rPr>
          <w:rStyle w:val="normaltextrun"/>
          <w:rFonts w:ascii="Times New Roman" w:hAnsi="Times New Roman" w:cs="Times New Roman"/>
          <w:color w:val="000000"/>
          <w:lang w:val="en-US"/>
        </w:rPr>
        <w:t> </w:t>
      </w:r>
      <w:r>
        <w:rPr>
          <w:rStyle w:val="eop"/>
          <w:rFonts w:ascii="Barlow" w:hAnsi="Barlow" w:cs="Segoe UI"/>
          <w:color w:val="000000"/>
        </w:rPr>
        <w:t> </w:t>
      </w:r>
    </w:p>
    <w:p w14:paraId="7376C6E0" w14:textId="77777777" w:rsidR="001D52B6" w:rsidRPr="00596662" w:rsidRDefault="001D52B6" w:rsidP="001D52B6">
      <w:r w:rsidRPr="00596662">
        <w:t>End discrimination against non-EEA postgraduate researchers by implementing reforms that include but are not limited to:   </w:t>
      </w:r>
    </w:p>
    <w:p w14:paraId="2EB863C8" w14:textId="77777777" w:rsidR="001D52B6" w:rsidRPr="00596662" w:rsidRDefault="001D52B6" w:rsidP="001D52B6">
      <w:pPr>
        <w:pStyle w:val="ListParagraph"/>
        <w:numPr>
          <w:ilvl w:val="0"/>
          <w:numId w:val="2"/>
        </w:numPr>
      </w:pPr>
      <w:r w:rsidRPr="00596662">
        <w:t>Abolish the recurrent cost of €300 for the renewal of the Irish Residence Permit (IRP).  </w:t>
      </w:r>
    </w:p>
    <w:p w14:paraId="72D8B26A" w14:textId="77777777" w:rsidR="001D52B6" w:rsidRPr="00596662" w:rsidRDefault="001D52B6" w:rsidP="001D52B6">
      <w:pPr>
        <w:pStyle w:val="ListParagraph"/>
        <w:numPr>
          <w:ilvl w:val="0"/>
          <w:numId w:val="2"/>
        </w:numPr>
      </w:pPr>
      <w:r w:rsidRPr="00596662">
        <w:t>The provision of Hosting Agreement Schemes to non-EU postgraduate researchers.  </w:t>
      </w:r>
    </w:p>
    <w:p w14:paraId="7E4186A3" w14:textId="77777777" w:rsidR="001D52B6" w:rsidRPr="00596662" w:rsidRDefault="001D52B6" w:rsidP="001D52B6">
      <w:pPr>
        <w:pStyle w:val="ListParagraph"/>
        <w:numPr>
          <w:ilvl w:val="0"/>
          <w:numId w:val="2"/>
        </w:numPr>
      </w:pPr>
      <w:r w:rsidRPr="00596662">
        <w:t>Abolish the points-based system for funding agencies' scholarships based on the applicant's citizenship.  </w:t>
      </w:r>
    </w:p>
    <w:p w14:paraId="32D71E6A" w14:textId="77777777" w:rsidR="001D52B6" w:rsidRPr="00596662" w:rsidRDefault="001D52B6" w:rsidP="001D52B6">
      <w:pPr>
        <w:pStyle w:val="ListParagraph"/>
        <w:numPr>
          <w:ilvl w:val="0"/>
          <w:numId w:val="2"/>
        </w:numPr>
      </w:pPr>
      <w:r w:rsidRPr="00596662">
        <w:t>Sponsorship and processing fees for visas, Garda vetting, and residence permits should be adequately funded by the HEIs.  </w:t>
      </w:r>
    </w:p>
    <w:p w14:paraId="01B6A473" w14:textId="77777777" w:rsidR="001D52B6" w:rsidRPr="00596662" w:rsidRDefault="001D52B6" w:rsidP="001D52B6">
      <w:pPr>
        <w:pStyle w:val="ListParagraph"/>
        <w:numPr>
          <w:ilvl w:val="0"/>
          <w:numId w:val="2"/>
        </w:numPr>
      </w:pPr>
      <w:r w:rsidRPr="00596662">
        <w:t>The time spent in postgraduate research by non-EU postgraduate researchers should be counted toward naturalization and residency.  </w:t>
      </w:r>
    </w:p>
    <w:p w14:paraId="56CF7E62" w14:textId="77777777" w:rsidR="001D52B6" w:rsidRPr="00596662" w:rsidRDefault="001D52B6" w:rsidP="001D52B6">
      <w:pPr>
        <w:pStyle w:val="ListParagraph"/>
        <w:numPr>
          <w:ilvl w:val="0"/>
          <w:numId w:val="2"/>
        </w:numPr>
      </w:pPr>
      <w:r w:rsidRPr="00596662">
        <w:t>Provide working rights to the spouses of non-EEA postgraduate researchers.   </w:t>
      </w:r>
    </w:p>
    <w:p w14:paraId="71304EB1" w14:textId="77777777" w:rsidR="001D52B6" w:rsidRPr="00596662" w:rsidRDefault="001D52B6" w:rsidP="001D52B6">
      <w:pPr>
        <w:pStyle w:val="ListParagraph"/>
        <w:numPr>
          <w:ilvl w:val="0"/>
          <w:numId w:val="2"/>
        </w:numPr>
      </w:pPr>
      <w:r w:rsidRPr="00596662">
        <w:t>Provide access and assistance for healthcare, affordable health insurance, disability benefits, paid maternity, paternity, and sick leave.   </w:t>
      </w:r>
    </w:p>
    <w:p w14:paraId="6547CC04" w14:textId="77777777" w:rsidR="001D52B6" w:rsidRPr="00596662" w:rsidRDefault="001D52B6" w:rsidP="001D52B6">
      <w:pPr>
        <w:pStyle w:val="ListParagraph"/>
        <w:numPr>
          <w:ilvl w:val="0"/>
          <w:numId w:val="2"/>
        </w:numPr>
      </w:pPr>
      <w:r w:rsidRPr="00596662">
        <w:t>End the unregulated and higher tuition fees for non-EU postgraduate researchers and students.  </w:t>
      </w:r>
    </w:p>
    <w:p w14:paraId="0E6AAF11" w14:textId="77777777" w:rsidR="001D52B6" w:rsidRDefault="001D52B6" w:rsidP="001D52B6">
      <w:pPr>
        <w:pStyle w:val="Heading2"/>
        <w:numPr>
          <w:ilvl w:val="0"/>
          <w:numId w:val="1"/>
        </w:numPr>
        <w:rPr>
          <w:rFonts w:ascii="Barlow" w:hAnsi="Barlow" w:cs="Segoe UI"/>
        </w:rPr>
      </w:pPr>
      <w:r w:rsidRPr="00596662">
        <w:t>Career Development Pathways</w:t>
      </w:r>
      <w:r>
        <w:rPr>
          <w:rStyle w:val="normaltextrun"/>
          <w:rFonts w:ascii="Times New Roman" w:hAnsi="Times New Roman" w:cs="Times New Roman"/>
          <w:color w:val="000000"/>
          <w:lang w:val="en-IE"/>
        </w:rPr>
        <w:t> </w:t>
      </w:r>
      <w:r>
        <w:rPr>
          <w:rStyle w:val="eop"/>
          <w:rFonts w:ascii="Barlow" w:hAnsi="Barlow" w:cs="Segoe UI"/>
          <w:color w:val="000000"/>
        </w:rPr>
        <w:t> </w:t>
      </w:r>
    </w:p>
    <w:p w14:paraId="2DCACB16" w14:textId="77777777" w:rsidR="001D52B6" w:rsidRPr="00596662" w:rsidRDefault="001D52B6" w:rsidP="001D52B6">
      <w:r w:rsidRPr="00596662">
        <w:t>Abolish precarity in higher education and research. Ensure that postgraduate researchers in higher education and research, including those on part-time programmes, have clear and secure career pathways, resources, and support.    </w:t>
      </w:r>
    </w:p>
    <w:p w14:paraId="57DDCF67" w14:textId="77777777" w:rsidR="001D52B6" w:rsidRDefault="001D52B6" w:rsidP="001D52B6">
      <w:pPr>
        <w:pStyle w:val="Heading2"/>
        <w:numPr>
          <w:ilvl w:val="0"/>
          <w:numId w:val="1"/>
        </w:numPr>
        <w:rPr>
          <w:rFonts w:ascii="Barlow" w:hAnsi="Barlow" w:cs="Segoe UI"/>
          <w:sz w:val="24"/>
          <w:szCs w:val="24"/>
        </w:rPr>
      </w:pPr>
      <w:r w:rsidRPr="00596662">
        <w:lastRenderedPageBreak/>
        <w:t>Equality of Opportunities</w:t>
      </w:r>
      <w:r>
        <w:rPr>
          <w:rStyle w:val="normaltextrun"/>
          <w:rFonts w:ascii="Times New Roman" w:hAnsi="Times New Roman" w:cs="Times New Roman"/>
          <w:color w:val="000000"/>
          <w:lang w:val="en-IE"/>
        </w:rPr>
        <w:t> </w:t>
      </w:r>
      <w:r>
        <w:rPr>
          <w:rStyle w:val="eop"/>
          <w:rFonts w:ascii="Barlow" w:hAnsi="Barlow" w:cs="Segoe UI"/>
          <w:color w:val="000000"/>
        </w:rPr>
        <w:t> </w:t>
      </w:r>
    </w:p>
    <w:p w14:paraId="736A7609" w14:textId="77777777" w:rsidR="001D52B6" w:rsidRPr="00596662" w:rsidRDefault="001D52B6" w:rsidP="001D52B6">
      <w:r w:rsidRPr="00596662">
        <w:t>Improved access and support for all who wish to pursue postgraduate research and academic positions. This includes increases in funding to disability services to ensure HEIs are compliant with both the UN Convention on the Rights of Persons with Disabilities and the Equal Status Act; ensuring compliance with the Athena SWAN charter in all HEIs; restoring funding to HEI health and mental health services to pre-2008 levels and expanding services to allow for universal, free healthcare for all postgraduates.  </w:t>
      </w:r>
    </w:p>
    <w:p w14:paraId="563F2C62" w14:textId="77777777" w:rsidR="001D52B6" w:rsidRDefault="001D52B6" w:rsidP="001D52B6">
      <w:pPr>
        <w:pStyle w:val="Heading2"/>
        <w:numPr>
          <w:ilvl w:val="0"/>
          <w:numId w:val="1"/>
        </w:numPr>
        <w:rPr>
          <w:rFonts w:ascii="Barlow" w:hAnsi="Barlow" w:cs="Segoe UI"/>
          <w:sz w:val="24"/>
          <w:szCs w:val="24"/>
        </w:rPr>
      </w:pPr>
      <w:r w:rsidRPr="00596662">
        <w:t>State Support for the Cost of Postgraduate Courses</w:t>
      </w:r>
      <w:r>
        <w:rPr>
          <w:rStyle w:val="normaltextrun"/>
          <w:rFonts w:ascii="Times New Roman" w:hAnsi="Times New Roman" w:cs="Times New Roman"/>
          <w:color w:val="000000"/>
          <w:lang w:val="en-IE"/>
        </w:rPr>
        <w:t> </w:t>
      </w:r>
      <w:r>
        <w:rPr>
          <w:rStyle w:val="eop"/>
          <w:rFonts w:ascii="Barlow" w:hAnsi="Barlow" w:cs="Segoe UI"/>
          <w:color w:val="000000"/>
        </w:rPr>
        <w:t> </w:t>
      </w:r>
    </w:p>
    <w:p w14:paraId="509681D8" w14:textId="77777777" w:rsidR="001D52B6" w:rsidRPr="00596662" w:rsidRDefault="001D52B6" w:rsidP="001D52B6">
      <w:r w:rsidRPr="00596662">
        <w:t>Create a national policy to regularize, standardize and cease the cost of postgraduate courses.  Irish and international postgraduate researchers and students pursuing taught and research degrees should receive the same financial support and fee criteria.  </w:t>
      </w:r>
    </w:p>
    <w:p w14:paraId="390017EE" w14:textId="77777777" w:rsidR="001D52B6" w:rsidRDefault="001D52B6" w:rsidP="001D52B6">
      <w:pPr>
        <w:pStyle w:val="Heading2"/>
        <w:numPr>
          <w:ilvl w:val="0"/>
          <w:numId w:val="1"/>
        </w:numPr>
        <w:rPr>
          <w:rFonts w:ascii="Barlow" w:hAnsi="Barlow" w:cs="Segoe UI"/>
          <w:sz w:val="24"/>
          <w:szCs w:val="24"/>
        </w:rPr>
      </w:pPr>
      <w:r w:rsidRPr="00596662">
        <w:t>Open Access</w:t>
      </w:r>
      <w:r>
        <w:rPr>
          <w:rStyle w:val="normaltextrun"/>
          <w:rFonts w:ascii="Times New Roman" w:hAnsi="Times New Roman" w:cs="Times New Roman"/>
          <w:color w:val="000000"/>
          <w:lang w:val="en-IE"/>
        </w:rPr>
        <w:t> </w:t>
      </w:r>
      <w:r>
        <w:rPr>
          <w:rStyle w:val="eop"/>
          <w:rFonts w:ascii="Barlow" w:hAnsi="Barlow" w:cs="Segoe UI"/>
          <w:color w:val="000000"/>
        </w:rPr>
        <w:t> </w:t>
      </w:r>
    </w:p>
    <w:p w14:paraId="53A2E4D8" w14:textId="77777777" w:rsidR="001D52B6" w:rsidRPr="00596662" w:rsidRDefault="001D52B6" w:rsidP="001D52B6">
      <w:r w:rsidRPr="00596662">
        <w:t>Provide suitable training, resources, and financial support for conference presentations and open-access publications.  </w:t>
      </w:r>
    </w:p>
    <w:p w14:paraId="46B4B0ED" w14:textId="77777777" w:rsidR="00636BC1" w:rsidRDefault="00636BC1"/>
    <w:sectPr w:rsidR="00636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rlow">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C5A1B"/>
    <w:multiLevelType w:val="hybridMultilevel"/>
    <w:tmpl w:val="272E8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BA7812"/>
    <w:multiLevelType w:val="hybridMultilevel"/>
    <w:tmpl w:val="3A5C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937368">
    <w:abstractNumId w:val="0"/>
  </w:num>
  <w:num w:numId="2" w16cid:durableId="2008285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B6"/>
    <w:rsid w:val="000A7480"/>
    <w:rsid w:val="001D52B6"/>
    <w:rsid w:val="00636BC1"/>
    <w:rsid w:val="00C9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B986"/>
  <w15:chartTrackingRefBased/>
  <w15:docId w15:val="{3259B080-5AAA-4A44-ABE6-980BB85E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2B6"/>
  </w:style>
  <w:style w:type="paragraph" w:styleId="Heading2">
    <w:name w:val="heading 2"/>
    <w:basedOn w:val="Normal"/>
    <w:next w:val="Normal"/>
    <w:link w:val="Heading2Char"/>
    <w:uiPriority w:val="9"/>
    <w:unhideWhenUsed/>
    <w:qFormat/>
    <w:rsid w:val="001D52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2B6"/>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1D52B6"/>
  </w:style>
  <w:style w:type="character" w:customStyle="1" w:styleId="eop">
    <w:name w:val="eop"/>
    <w:basedOn w:val="DefaultParagraphFont"/>
    <w:rsid w:val="001D52B6"/>
  </w:style>
  <w:style w:type="paragraph" w:styleId="Title">
    <w:name w:val="Title"/>
    <w:basedOn w:val="Normal"/>
    <w:next w:val="Normal"/>
    <w:link w:val="TitleChar"/>
    <w:uiPriority w:val="10"/>
    <w:qFormat/>
    <w:rsid w:val="001D52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2B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D5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Archibald</dc:creator>
  <cp:keywords/>
  <dc:description/>
  <cp:lastModifiedBy>Ben Archibald</cp:lastModifiedBy>
  <cp:revision>1</cp:revision>
  <dcterms:created xsi:type="dcterms:W3CDTF">2023-03-29T13:43:00Z</dcterms:created>
  <dcterms:modified xsi:type="dcterms:W3CDTF">2023-03-29T13:45:00Z</dcterms:modified>
</cp:coreProperties>
</file>